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0B20" w14:textId="77777777" w:rsidR="003F5B21" w:rsidRDefault="003F5B21" w:rsidP="005B6C73">
      <w:pPr>
        <w:pStyle w:val="BodyText"/>
      </w:pPr>
    </w:p>
    <w:p w14:paraId="0530B82D" w14:textId="77777777" w:rsidR="003F5B21" w:rsidRDefault="003F5B21" w:rsidP="005B6C73">
      <w:pPr>
        <w:pStyle w:val="BodyText"/>
      </w:pPr>
    </w:p>
    <w:p w14:paraId="3916390A" w14:textId="77777777" w:rsidR="00CA7DBE" w:rsidRDefault="00CA7DBE" w:rsidP="005B6C73">
      <w:pPr>
        <w:pStyle w:val="BodyText"/>
      </w:pPr>
    </w:p>
    <w:p w14:paraId="2497124C" w14:textId="77777777" w:rsidR="005B6C73" w:rsidRDefault="005B6C73" w:rsidP="005B6C73">
      <w:pPr>
        <w:pStyle w:val="BodyText"/>
      </w:pPr>
    </w:p>
    <w:p w14:paraId="52A5A308" w14:textId="77777777" w:rsidR="005B6C73" w:rsidRDefault="005B6C73" w:rsidP="005B6C73">
      <w:pPr>
        <w:pStyle w:val="BodyText"/>
      </w:pPr>
    </w:p>
    <w:p w14:paraId="376C574D" w14:textId="77777777" w:rsidR="003F5B21" w:rsidRPr="005B6C73" w:rsidRDefault="00C82239" w:rsidP="005B6C73">
      <w:pPr>
        <w:pStyle w:val="Title"/>
      </w:pPr>
      <w:r>
        <w:t>Next Steps</w:t>
      </w:r>
    </w:p>
    <w:p w14:paraId="525E064E" w14:textId="77777777" w:rsidR="003F5B21" w:rsidRPr="005B6C73" w:rsidRDefault="00C82239" w:rsidP="005B6C73">
      <w:pPr>
        <w:pStyle w:val="Subtitle"/>
      </w:pPr>
      <w:r>
        <w:t>Your Benefit Options After You Leave</w:t>
      </w:r>
    </w:p>
    <w:p w14:paraId="7C24B64C" w14:textId="77777777" w:rsidR="005B6C73" w:rsidRDefault="005B6C73" w:rsidP="005B6C73">
      <w:pPr>
        <w:pStyle w:val="Heading2"/>
      </w:pPr>
    </w:p>
    <w:p w14:paraId="27728B41" w14:textId="78DA86CD" w:rsidR="005B6C73" w:rsidRPr="005B6C73" w:rsidRDefault="00C82239" w:rsidP="005B6C73">
      <w:pPr>
        <w:pStyle w:val="Heading2"/>
      </w:pPr>
      <w:r>
        <w:t>If you were recently let go due to the COVID-19 (</w:t>
      </w:r>
      <w:r w:rsidR="008B3A75">
        <w:t xml:space="preserve">novel </w:t>
      </w:r>
      <w:r>
        <w:t>coronavirus) pandemic, you still have options related to your benefits coverage.</w:t>
      </w:r>
    </w:p>
    <w:p w14:paraId="70550A03" w14:textId="77777777" w:rsidR="003F5B21" w:rsidRDefault="003F5B21" w:rsidP="005B6C73">
      <w:pPr>
        <w:pStyle w:val="BodyText"/>
      </w:pPr>
    </w:p>
    <w:p w14:paraId="096E0749" w14:textId="77777777" w:rsidR="003F5B21" w:rsidRDefault="003F5B21">
      <w:pPr>
        <w:sectPr w:rsidR="003F5B21" w:rsidSect="00CA7DBE">
          <w:headerReference w:type="default" r:id="rId6"/>
          <w:footerReference w:type="default" r:id="rId7"/>
          <w:type w:val="continuous"/>
          <w:pgSz w:w="12240" w:h="15840"/>
          <w:pgMar w:top="0" w:right="1500" w:bottom="0" w:left="980" w:header="0" w:footer="405" w:gutter="0"/>
          <w:cols w:space="720"/>
        </w:sectPr>
      </w:pPr>
    </w:p>
    <w:p w14:paraId="5D1A281A" w14:textId="77777777" w:rsidR="003F5B21" w:rsidRPr="005B6C73" w:rsidRDefault="00E85120" w:rsidP="005B6C73">
      <w:pPr>
        <w:pStyle w:val="Heading1"/>
      </w:pPr>
      <w:r>
        <w:t xml:space="preserve">Medical, Dental &amp; Vision </w:t>
      </w:r>
    </w:p>
    <w:p w14:paraId="4F814A35" w14:textId="17480DF1" w:rsidR="000E4025" w:rsidRDefault="005023AA" w:rsidP="000E4025">
      <w:pPr>
        <w:pStyle w:val="BodyText"/>
      </w:pPr>
      <w:r>
        <w:t xml:space="preserve">Your current coverage will </w:t>
      </w:r>
      <w:r w:rsidRPr="00BC746D">
        <w:t>continue until</w:t>
      </w:r>
      <w:r w:rsidRPr="004A5ED9">
        <w:rPr>
          <w:b/>
        </w:rPr>
        <w:t xml:space="preserve"> </w:t>
      </w:r>
      <w:r w:rsidR="00BC746D" w:rsidRPr="008B3A75">
        <w:rPr>
          <w:color w:val="FF0000"/>
        </w:rPr>
        <w:t>[enter applicable time frame</w:t>
      </w:r>
      <w:r w:rsidR="008B3A75" w:rsidRPr="008B3A75">
        <w:rPr>
          <w:color w:val="FF0000"/>
        </w:rPr>
        <w:t>]</w:t>
      </w:r>
      <w:r w:rsidRPr="008B3A75">
        <w:rPr>
          <w:color w:val="FF0000"/>
        </w:rPr>
        <w:t xml:space="preserve"> </w:t>
      </w:r>
      <w:r>
        <w:t xml:space="preserve">that you </w:t>
      </w:r>
      <w:r w:rsidR="00B659C4">
        <w:t xml:space="preserve">stop working for </w:t>
      </w:r>
      <w:r w:rsidR="008B3A75" w:rsidRPr="008B3A75">
        <w:rPr>
          <w:color w:val="FF0000"/>
        </w:rPr>
        <w:t>ABC Company</w:t>
      </w:r>
      <w:r w:rsidR="008B3A75">
        <w:t>.</w:t>
      </w:r>
      <w:r w:rsidR="00B42D8B">
        <w:t xml:space="preserve"> You </w:t>
      </w:r>
      <w:r w:rsidR="00EC541B">
        <w:t xml:space="preserve">have the </w:t>
      </w:r>
      <w:r w:rsidR="00BC746D">
        <w:t xml:space="preserve">option </w:t>
      </w:r>
      <w:r w:rsidR="00B42D8B">
        <w:t>to continue coverage under the Consolidated Omnibus Budget Reconciliation Act (COBRA)</w:t>
      </w:r>
      <w:r w:rsidR="00EC541B">
        <w:t xml:space="preserve"> or applicable state law</w:t>
      </w:r>
      <w:r w:rsidR="00B42D8B">
        <w:t xml:space="preserve">. COBRA is a federal law that </w:t>
      </w:r>
      <w:r w:rsidR="000E4025">
        <w:t xml:space="preserve">gives you and your dependents the right to continue health coverage at group rates. </w:t>
      </w:r>
      <w:r w:rsidR="00B659C4">
        <w:t xml:space="preserve">Under COBRA, you </w:t>
      </w:r>
      <w:r w:rsidR="000E4025">
        <w:t xml:space="preserve">will pay the full premium (i.e., </w:t>
      </w:r>
      <w:r w:rsidR="00B659C4">
        <w:t xml:space="preserve">what you currently pay plus </w:t>
      </w:r>
      <w:r w:rsidR="000E4025">
        <w:t>the company’s contribution and an administrative fee).</w:t>
      </w:r>
      <w:r w:rsidR="00EC541B">
        <w:t xml:space="preserve">  </w:t>
      </w:r>
    </w:p>
    <w:p w14:paraId="2E08A826" w14:textId="77777777" w:rsidR="000E4025" w:rsidRDefault="000E4025" w:rsidP="000E4025">
      <w:pPr>
        <w:pStyle w:val="BodyText"/>
      </w:pPr>
    </w:p>
    <w:p w14:paraId="1D278BEE" w14:textId="1585706C" w:rsidR="003F5B21" w:rsidRDefault="000E4025" w:rsidP="000E4025">
      <w:pPr>
        <w:pStyle w:val="BodyText"/>
      </w:pPr>
      <w:r>
        <w:t>[</w:t>
      </w:r>
      <w:r w:rsidRPr="000E4025">
        <w:rPr>
          <w:color w:val="FF0000"/>
        </w:rPr>
        <w:t>COBRA</w:t>
      </w:r>
      <w:r w:rsidR="00C854FC">
        <w:rPr>
          <w:color w:val="FF0000"/>
        </w:rPr>
        <w:t xml:space="preserve"> ADMIN</w:t>
      </w:r>
      <w:r>
        <w:t>], our COBRA administrator, will mail information on your rights and responsibilities, as well as the cost of coverage, to your home address.</w:t>
      </w:r>
      <w:r w:rsidR="00EC541B">
        <w:t xml:space="preserve"> If state law continuation coverage applies, the insurance carrier for the plan will contact you.</w:t>
      </w:r>
    </w:p>
    <w:p w14:paraId="112FDFF0" w14:textId="77777777" w:rsidR="00C854FC" w:rsidRDefault="00C854FC" w:rsidP="000E4025">
      <w:pPr>
        <w:pStyle w:val="BodyText"/>
      </w:pPr>
    </w:p>
    <w:p w14:paraId="6C96C0EF" w14:textId="77777777" w:rsidR="001D298A" w:rsidRDefault="001D298A" w:rsidP="00B84198">
      <w:pPr>
        <w:pStyle w:val="BodyText"/>
      </w:pPr>
    </w:p>
    <w:p w14:paraId="6E749479" w14:textId="77777777" w:rsidR="009546A5" w:rsidRPr="00F210AD" w:rsidRDefault="001D298A" w:rsidP="00F210AD">
      <w:pPr>
        <w:pStyle w:val="BodyText"/>
        <w:rPr>
          <w:color w:val="FF0000"/>
        </w:rPr>
      </w:pPr>
      <w:r w:rsidRPr="001D298A">
        <w:rPr>
          <w:b/>
        </w:rPr>
        <w:t>Contact Information:</w:t>
      </w:r>
      <w:r>
        <w:t xml:space="preserve"> </w:t>
      </w:r>
      <w:r w:rsidRPr="001D298A">
        <w:rPr>
          <w:color w:val="FF0000"/>
        </w:rPr>
        <w:t>ENTER HERE</w:t>
      </w:r>
    </w:p>
    <w:p w14:paraId="0970C558" w14:textId="77777777" w:rsidR="009546A5" w:rsidRDefault="009546A5" w:rsidP="00B84198">
      <w:pPr>
        <w:pStyle w:val="BodyText"/>
      </w:pPr>
    </w:p>
    <w:p w14:paraId="45E760CD" w14:textId="77777777" w:rsidR="004A5ED9" w:rsidRDefault="004A5ED9" w:rsidP="009546A5">
      <w:pPr>
        <w:pStyle w:val="Heading1"/>
      </w:pPr>
    </w:p>
    <w:p w14:paraId="444EADD1" w14:textId="77777777" w:rsidR="004A5ED9" w:rsidRDefault="004A5ED9" w:rsidP="009546A5">
      <w:pPr>
        <w:pStyle w:val="Heading1"/>
      </w:pPr>
    </w:p>
    <w:p w14:paraId="5033E61C" w14:textId="77777777" w:rsidR="004A5ED9" w:rsidRDefault="004A5ED9" w:rsidP="009546A5">
      <w:pPr>
        <w:pStyle w:val="Heading1"/>
      </w:pPr>
    </w:p>
    <w:p w14:paraId="36B1D16D" w14:textId="196EF183" w:rsidR="009546A5" w:rsidRDefault="009546A5" w:rsidP="009546A5">
      <w:pPr>
        <w:pStyle w:val="Heading1"/>
      </w:pPr>
      <w:r>
        <w:t>Flexible Spending Account</w:t>
      </w:r>
      <w:r w:rsidR="00AE3831">
        <w:t>s</w:t>
      </w:r>
      <w:r>
        <w:t xml:space="preserve"> (FSA)</w:t>
      </w:r>
    </w:p>
    <w:p w14:paraId="5EBC0189" w14:textId="328B9A2D" w:rsidR="009546A5" w:rsidRDefault="009546A5" w:rsidP="009546A5">
      <w:pPr>
        <w:pStyle w:val="BodyText"/>
      </w:pPr>
      <w:r>
        <w:t xml:space="preserve">You may </w:t>
      </w:r>
      <w:r w:rsidR="00991407">
        <w:t xml:space="preserve">be able to </w:t>
      </w:r>
      <w:r>
        <w:t>continue to contribute to</w:t>
      </w:r>
      <w:r w:rsidR="00991407">
        <w:t>,</w:t>
      </w:r>
      <w:r>
        <w:t xml:space="preserve"> </w:t>
      </w:r>
      <w:r w:rsidR="00991407">
        <w:t xml:space="preserve">and use unspent amounts in, your </w:t>
      </w:r>
      <w:r>
        <w:t>health care FSA under COBRA</w:t>
      </w:r>
      <w:r w:rsidR="00991407">
        <w:t>, if COBRA applies</w:t>
      </w:r>
      <w:r>
        <w:t xml:space="preserve">. If you do not elect to continue FSA coverage through COBRA, </w:t>
      </w:r>
      <w:r w:rsidR="00AE3831">
        <w:t>only</w:t>
      </w:r>
      <w:r>
        <w:t xml:space="preserve"> services </w:t>
      </w:r>
      <w:r w:rsidR="00AE3831">
        <w:t xml:space="preserve">incurred </w:t>
      </w:r>
      <w:r>
        <w:t xml:space="preserve">before your separation date </w:t>
      </w:r>
      <w:r w:rsidR="00AE3831">
        <w:t>are</w:t>
      </w:r>
      <w:r>
        <w:t xml:space="preserve"> eligible for reimbursement.</w:t>
      </w:r>
      <w:r w:rsidR="008B3A75">
        <w:t xml:space="preserve"> </w:t>
      </w:r>
      <w:r w:rsidR="00991407">
        <w:t>State law continuation</w:t>
      </w:r>
      <w:r w:rsidR="004A5ED9">
        <w:t xml:space="preserve"> coverage</w:t>
      </w:r>
      <w:r w:rsidR="008B3A75">
        <w:t xml:space="preserve"> </w:t>
      </w:r>
      <w:r w:rsidR="00991407">
        <w:t>does not apply to the health care FSA.</w:t>
      </w:r>
    </w:p>
    <w:p w14:paraId="6D93D4C9" w14:textId="77777777" w:rsidR="009546A5" w:rsidRDefault="009546A5" w:rsidP="009546A5">
      <w:pPr>
        <w:pStyle w:val="BodyText"/>
      </w:pPr>
    </w:p>
    <w:p w14:paraId="5B571210" w14:textId="30A66EC4" w:rsidR="009546A5" w:rsidRDefault="009546A5" w:rsidP="009546A5">
      <w:pPr>
        <w:pStyle w:val="BodyText"/>
      </w:pPr>
      <w:r>
        <w:t>If have a dependent care FSA</w:t>
      </w:r>
      <w:r w:rsidR="008B3A75">
        <w:t>,</w:t>
      </w:r>
      <w:r>
        <w:t xml:space="preserve"> </w:t>
      </w:r>
      <w:r w:rsidR="00991407">
        <w:t>y</w:t>
      </w:r>
      <w:r>
        <w:t>ou cannot make any further contributions once you leave the company.</w:t>
      </w:r>
    </w:p>
    <w:p w14:paraId="365CD125" w14:textId="6A693686" w:rsidR="009546A5" w:rsidRDefault="009546A5" w:rsidP="009546A5">
      <w:pPr>
        <w:pStyle w:val="BodyText"/>
      </w:pPr>
    </w:p>
    <w:p w14:paraId="615DAF5C" w14:textId="6D07C283" w:rsidR="00991407" w:rsidRDefault="004A5ED9" w:rsidP="009546A5">
      <w:pPr>
        <w:pStyle w:val="BodyText"/>
      </w:pPr>
      <w:r>
        <w:t xml:space="preserve">Please </w:t>
      </w:r>
      <w:r w:rsidR="00991407">
        <w:t xml:space="preserve">contact </w:t>
      </w:r>
      <w:r>
        <w:t xml:space="preserve">your </w:t>
      </w:r>
      <w:r w:rsidR="00991407">
        <w:t xml:space="preserve">FSA </w:t>
      </w:r>
      <w:r>
        <w:t xml:space="preserve">plan administrator </w:t>
      </w:r>
      <w:r w:rsidR="00991407">
        <w:t>regarding the claims deadline that applies to your health care or dependent care FSA.</w:t>
      </w:r>
    </w:p>
    <w:p w14:paraId="17276976" w14:textId="77777777" w:rsidR="00991407" w:rsidRDefault="00991407" w:rsidP="009546A5">
      <w:pPr>
        <w:pStyle w:val="BodyText"/>
      </w:pPr>
    </w:p>
    <w:p w14:paraId="21D05069" w14:textId="77777777" w:rsidR="009546A5" w:rsidRDefault="009546A5" w:rsidP="009546A5">
      <w:pPr>
        <w:pStyle w:val="BodyText"/>
        <w:rPr>
          <w:color w:val="FF0000"/>
        </w:rPr>
      </w:pPr>
      <w:r w:rsidRPr="001D298A">
        <w:rPr>
          <w:b/>
        </w:rPr>
        <w:t>Contact Information:</w:t>
      </w:r>
      <w:r>
        <w:t xml:space="preserve"> </w:t>
      </w:r>
      <w:r w:rsidRPr="001D298A">
        <w:rPr>
          <w:color w:val="FF0000"/>
        </w:rPr>
        <w:t>ENTER HERE</w:t>
      </w:r>
    </w:p>
    <w:p w14:paraId="4FA98910" w14:textId="77777777" w:rsidR="00D45DCE" w:rsidRDefault="00D45DCE" w:rsidP="009546A5">
      <w:pPr>
        <w:pStyle w:val="BodyText"/>
        <w:rPr>
          <w:color w:val="FF0000"/>
        </w:rPr>
      </w:pPr>
    </w:p>
    <w:p w14:paraId="35FBF824" w14:textId="77777777" w:rsidR="00D45DCE" w:rsidRDefault="00D45DCE" w:rsidP="00D45DCE">
      <w:pPr>
        <w:pStyle w:val="Heading1"/>
      </w:pPr>
      <w:r>
        <w:t>Commuter Benefits</w:t>
      </w:r>
    </w:p>
    <w:p w14:paraId="1E6B41F1" w14:textId="77777777" w:rsidR="00D45DCE" w:rsidRDefault="00D45DCE" w:rsidP="00D45DCE">
      <w:pPr>
        <w:pStyle w:val="BodyText"/>
      </w:pPr>
      <w:r>
        <w:t xml:space="preserve">If you have a parking </w:t>
      </w:r>
      <w:r w:rsidR="00793DAD">
        <w:t>and/</w:t>
      </w:r>
      <w:r>
        <w:t>or transit account, your account and debit card (if applicable) will be de-activated the day your employment ends</w:t>
      </w:r>
      <w:r w:rsidRPr="00D45DCE">
        <w:t xml:space="preserve">. </w:t>
      </w:r>
      <w:r>
        <w:t>This means you will no longer have access to existing commuter funds.</w:t>
      </w:r>
    </w:p>
    <w:p w14:paraId="13CD6B42" w14:textId="77777777" w:rsidR="00D45DCE" w:rsidRDefault="00D45DCE" w:rsidP="00D45DCE">
      <w:pPr>
        <w:pStyle w:val="BodyText"/>
      </w:pPr>
    </w:p>
    <w:p w14:paraId="634C484C" w14:textId="523A3B53" w:rsidR="004A5ED9" w:rsidRPr="004A5ED9" w:rsidRDefault="00D45DCE" w:rsidP="004A5ED9">
      <w:pPr>
        <w:pStyle w:val="BodyText"/>
        <w:rPr>
          <w:color w:val="FF0000"/>
        </w:rPr>
        <w:sectPr w:rsidR="004A5ED9" w:rsidRPr="004A5ED9" w:rsidSect="00CA7DBE">
          <w:type w:val="continuous"/>
          <w:pgSz w:w="12240" w:h="15840"/>
          <w:pgMar w:top="0" w:right="1500" w:bottom="0" w:left="980" w:header="0" w:footer="405" w:gutter="0"/>
          <w:cols w:num="2" w:space="720" w:equalWidth="0">
            <w:col w:w="4661" w:space="418"/>
            <w:col w:w="4681"/>
          </w:cols>
        </w:sectPr>
      </w:pPr>
      <w:r w:rsidRPr="001D298A">
        <w:rPr>
          <w:b/>
        </w:rPr>
        <w:t>Contact Information:</w:t>
      </w:r>
      <w:r>
        <w:t xml:space="preserve"> </w:t>
      </w:r>
      <w:r w:rsidRPr="001D298A">
        <w:rPr>
          <w:color w:val="FF0000"/>
        </w:rPr>
        <w:t>ENTER HERE</w:t>
      </w:r>
    </w:p>
    <w:p w14:paraId="1FFD4A25" w14:textId="720FB0DC" w:rsidR="004A5ED9" w:rsidRDefault="004A5ED9">
      <w:pPr>
        <w:rPr>
          <w:rFonts w:ascii="Arial Black" w:hAnsi="Arial Black"/>
          <w:b/>
          <w:bCs/>
          <w:color w:val="F28320"/>
          <w:spacing w:val="-7"/>
          <w:sz w:val="28"/>
          <w:szCs w:val="28"/>
        </w:rPr>
      </w:pPr>
      <w:r>
        <w:lastRenderedPageBreak/>
        <w:br w:type="page"/>
      </w:r>
    </w:p>
    <w:p w14:paraId="5F00EF51" w14:textId="77777777" w:rsidR="00D45DCE" w:rsidRDefault="00D45DCE" w:rsidP="004A5ED9">
      <w:pPr>
        <w:pStyle w:val="Heading1"/>
        <w:ind w:left="0"/>
      </w:pPr>
    </w:p>
    <w:p w14:paraId="43350360" w14:textId="77777777" w:rsidR="004A5ED9" w:rsidRDefault="004A5ED9" w:rsidP="005B6C73">
      <w:pPr>
        <w:pStyle w:val="Heading1"/>
      </w:pPr>
    </w:p>
    <w:p w14:paraId="2113C474" w14:textId="77777777" w:rsidR="004A5ED9" w:rsidRDefault="004A5ED9" w:rsidP="005B6C73">
      <w:pPr>
        <w:pStyle w:val="Heading1"/>
      </w:pPr>
    </w:p>
    <w:p w14:paraId="3852051B" w14:textId="77777777" w:rsidR="004A5ED9" w:rsidRDefault="004A5ED9" w:rsidP="005B6C73">
      <w:pPr>
        <w:pStyle w:val="Heading1"/>
      </w:pPr>
    </w:p>
    <w:p w14:paraId="5312215E" w14:textId="0E644905" w:rsidR="003F5B21" w:rsidRDefault="00A87C3C" w:rsidP="005B6C73">
      <w:pPr>
        <w:pStyle w:val="Heading1"/>
      </w:pPr>
      <w:r>
        <w:t>Health Savings Account (HSA)</w:t>
      </w:r>
    </w:p>
    <w:p w14:paraId="7996E844" w14:textId="459EF83F" w:rsidR="003F5B21" w:rsidRDefault="00BB300E" w:rsidP="00BB300E">
      <w:pPr>
        <w:pStyle w:val="BodyText"/>
      </w:pPr>
      <w:r>
        <w:t>If you have an HSA, your funds are yours to keep; however, if you have your HSA with the company’s preferred bank, you may need to pay a maintenance fee</w:t>
      </w:r>
      <w:r w:rsidR="00E434F2">
        <w:t xml:space="preserve"> to keep your account at the same bank</w:t>
      </w:r>
      <w:r>
        <w:t xml:space="preserve">. If you would like to move your HSA to another bank, you will first need to </w:t>
      </w:r>
      <w:r w:rsidR="00E434F2">
        <w:t xml:space="preserve">open a new </w:t>
      </w:r>
      <w:r>
        <w:t>account and send a completed bank transfer reques</w:t>
      </w:r>
      <w:r w:rsidR="008B3A75">
        <w:t xml:space="preserve">t form to your current HSA bank. </w:t>
      </w:r>
      <w:r w:rsidR="00991407">
        <w:t xml:space="preserve">Contact your HSA </w:t>
      </w:r>
      <w:r w:rsidR="004A5ED9">
        <w:t xml:space="preserve">plan administrator </w:t>
      </w:r>
      <w:r w:rsidR="00991407">
        <w:t xml:space="preserve">for details and </w:t>
      </w:r>
      <w:r w:rsidR="008B3A75">
        <w:t xml:space="preserve">if you have any </w:t>
      </w:r>
      <w:r w:rsidR="00991407">
        <w:t>questions.</w:t>
      </w:r>
    </w:p>
    <w:p w14:paraId="2D595FBB" w14:textId="77777777" w:rsidR="001D298A" w:rsidRDefault="001D298A" w:rsidP="00BB300E">
      <w:pPr>
        <w:pStyle w:val="BodyText"/>
      </w:pPr>
    </w:p>
    <w:p w14:paraId="58BA597B" w14:textId="77777777" w:rsidR="00AA0396" w:rsidRDefault="001D298A" w:rsidP="003E49C1">
      <w:pPr>
        <w:pStyle w:val="BodyText"/>
        <w:rPr>
          <w:color w:val="FF0000"/>
        </w:rPr>
      </w:pPr>
      <w:r w:rsidRPr="001D298A">
        <w:rPr>
          <w:b/>
        </w:rPr>
        <w:t>Contact Information:</w:t>
      </w:r>
      <w:r>
        <w:t xml:space="preserve"> </w:t>
      </w:r>
      <w:r w:rsidRPr="001D298A">
        <w:rPr>
          <w:color w:val="FF0000"/>
        </w:rPr>
        <w:t>ENTER HERE</w:t>
      </w:r>
    </w:p>
    <w:p w14:paraId="0007A7A4" w14:textId="77777777" w:rsidR="00A8193F" w:rsidRDefault="00A8193F" w:rsidP="00AA0396">
      <w:pPr>
        <w:pStyle w:val="Heading1"/>
        <w:ind w:left="0"/>
        <w:rPr>
          <w:spacing w:val="-4"/>
        </w:rPr>
      </w:pPr>
    </w:p>
    <w:p w14:paraId="40B6FDE5" w14:textId="77777777" w:rsidR="00962F41" w:rsidRDefault="00962F41" w:rsidP="00AA0396">
      <w:pPr>
        <w:pStyle w:val="Heading1"/>
        <w:ind w:left="0"/>
        <w:rPr>
          <w:spacing w:val="-4"/>
        </w:rPr>
        <w:sectPr w:rsidR="00962F41" w:rsidSect="00962F41">
          <w:type w:val="continuous"/>
          <w:pgSz w:w="12240" w:h="15840"/>
          <w:pgMar w:top="0" w:right="1500" w:bottom="0" w:left="980" w:header="0" w:footer="405" w:gutter="0"/>
          <w:cols w:space="720"/>
        </w:sectPr>
      </w:pPr>
    </w:p>
    <w:p w14:paraId="47370053" w14:textId="77777777" w:rsidR="00C755CF" w:rsidRDefault="00641788" w:rsidP="00AA0396">
      <w:pPr>
        <w:pStyle w:val="Heading1"/>
        <w:ind w:left="0"/>
      </w:pPr>
      <w:r>
        <w:rPr>
          <w:spacing w:val="-4"/>
        </w:rPr>
        <w:t>401(k)</w:t>
      </w:r>
      <w:r w:rsidR="001D298A">
        <w:rPr>
          <w:spacing w:val="-4"/>
        </w:rPr>
        <w:t xml:space="preserve"> Retirement Plan</w:t>
      </w:r>
    </w:p>
    <w:p w14:paraId="2414583B" w14:textId="319E892B" w:rsidR="006218B4" w:rsidRDefault="003E49C1" w:rsidP="003E49C1">
      <w:pPr>
        <w:pStyle w:val="BodyText"/>
        <w:ind w:left="0"/>
      </w:pPr>
      <w:r w:rsidRPr="003E49C1">
        <w:t xml:space="preserve">If you participated at any time in the </w:t>
      </w:r>
      <w:r>
        <w:t xml:space="preserve">company’s 401(k) retirement savings plan, </w:t>
      </w:r>
      <w:r w:rsidRPr="003E49C1">
        <w:t xml:space="preserve">you will receive important distribution information to your home address from </w:t>
      </w:r>
      <w:r>
        <w:t>[</w:t>
      </w:r>
      <w:r w:rsidRPr="003E49C1">
        <w:rPr>
          <w:color w:val="FF0000"/>
        </w:rPr>
        <w:t>401(k) ADMIN</w:t>
      </w:r>
      <w:r>
        <w:t xml:space="preserve">] </w:t>
      </w:r>
      <w:r w:rsidRPr="003E49C1">
        <w:t>following your last da</w:t>
      </w:r>
      <w:r w:rsidR="00AE3831">
        <w:t>y</w:t>
      </w:r>
      <w:r w:rsidRPr="003E49C1">
        <w:t xml:space="preserve"> of work.</w:t>
      </w:r>
      <w:r w:rsidR="008B3A75">
        <w:t xml:space="preserve"> </w:t>
      </w:r>
      <w:r w:rsidR="00991407">
        <w:t>If you do not receive</w:t>
      </w:r>
      <w:r w:rsidR="008B3A75">
        <w:t xml:space="preserve"> the</w:t>
      </w:r>
      <w:r w:rsidR="00991407">
        <w:t xml:space="preserve"> distribution information within 30 days, please contact </w:t>
      </w:r>
      <w:r w:rsidR="004A5ED9">
        <w:t xml:space="preserve">your </w:t>
      </w:r>
      <w:r w:rsidR="00991407">
        <w:t>401(k) plan</w:t>
      </w:r>
      <w:r w:rsidR="008B3A75">
        <w:t>’s recordkeeper</w:t>
      </w:r>
      <w:bookmarkStart w:id="0" w:name="_GoBack"/>
      <w:bookmarkEnd w:id="0"/>
      <w:r w:rsidR="00991407">
        <w:t>.</w:t>
      </w:r>
    </w:p>
    <w:p w14:paraId="3B898E60" w14:textId="77777777" w:rsidR="003E49C1" w:rsidRDefault="003E49C1" w:rsidP="003E49C1">
      <w:pPr>
        <w:pStyle w:val="BodyText"/>
        <w:ind w:left="0"/>
      </w:pPr>
    </w:p>
    <w:p w14:paraId="2727C288" w14:textId="77777777" w:rsidR="003E49C1" w:rsidRDefault="003E49C1" w:rsidP="003E49C1">
      <w:pPr>
        <w:pStyle w:val="BodyText"/>
        <w:ind w:left="0"/>
        <w:rPr>
          <w:color w:val="FF0000"/>
        </w:rPr>
      </w:pPr>
      <w:r w:rsidRPr="001D298A">
        <w:rPr>
          <w:b/>
        </w:rPr>
        <w:t>Contact Information:</w:t>
      </w:r>
      <w:r>
        <w:t xml:space="preserve"> </w:t>
      </w:r>
      <w:r w:rsidRPr="001D298A">
        <w:rPr>
          <w:color w:val="FF0000"/>
        </w:rPr>
        <w:t>ENTER HERE</w:t>
      </w:r>
    </w:p>
    <w:p w14:paraId="3B5EA416" w14:textId="77777777" w:rsidR="00104998" w:rsidRDefault="00104998" w:rsidP="00104998">
      <w:pPr>
        <w:pStyle w:val="Heading1"/>
        <w:ind w:left="0"/>
        <w:rPr>
          <w:rFonts w:ascii="Arial" w:hAnsi="Arial" w:cs="Arial"/>
          <w:b w:val="0"/>
          <w:bCs w:val="0"/>
          <w:color w:val="auto"/>
          <w:spacing w:val="-3"/>
          <w:sz w:val="20"/>
          <w:szCs w:val="20"/>
        </w:rPr>
      </w:pPr>
    </w:p>
    <w:p w14:paraId="38C9C12D" w14:textId="77777777" w:rsidR="006218B4" w:rsidRDefault="00B00047" w:rsidP="00104998">
      <w:pPr>
        <w:pStyle w:val="Heading1"/>
        <w:ind w:left="0"/>
      </w:pPr>
      <w:r>
        <w:rPr>
          <w:spacing w:val="-4"/>
        </w:rPr>
        <w:t>Life</w:t>
      </w:r>
      <w:r w:rsidR="00B87B79">
        <w:rPr>
          <w:spacing w:val="-4"/>
        </w:rPr>
        <w:t xml:space="preserve"> and AD&amp;D</w:t>
      </w:r>
      <w:r>
        <w:rPr>
          <w:spacing w:val="-4"/>
        </w:rPr>
        <w:t xml:space="preserve"> Insurance</w:t>
      </w:r>
    </w:p>
    <w:p w14:paraId="2F04A561" w14:textId="05E0BF12" w:rsidR="006218B4" w:rsidRDefault="00B00047" w:rsidP="00B00047">
      <w:pPr>
        <w:pStyle w:val="BodyText"/>
        <w:ind w:left="0"/>
        <w:sectPr w:rsidR="006218B4" w:rsidSect="00962F41">
          <w:type w:val="continuous"/>
          <w:pgSz w:w="12240" w:h="15840"/>
          <w:pgMar w:top="0" w:right="1500" w:bottom="0" w:left="980" w:header="0" w:footer="405" w:gutter="0"/>
          <w:cols w:space="720"/>
        </w:sectPr>
      </w:pPr>
      <w:r>
        <w:t>Your basic and supplemental group life</w:t>
      </w:r>
      <w:r w:rsidR="00B87B79">
        <w:t xml:space="preserve"> and accidental death and dismemberment (AD&amp;D)</w:t>
      </w:r>
      <w:r>
        <w:t xml:space="preserve"> insurance policy ends on your last day of work. </w:t>
      </w:r>
      <w:r w:rsidR="00991407">
        <w:t>You may have the ability to continue group coverage or convert your policy to individual coverage. You should receive separate information on these options, but i</w:t>
      </w:r>
      <w:r>
        <w:t>f you would like to continue your coverage, [</w:t>
      </w:r>
      <w:r w:rsidRPr="00CA7823">
        <w:rPr>
          <w:color w:val="FF0000"/>
        </w:rPr>
        <w:t>ENTER INSTRUCTIONS</w:t>
      </w:r>
      <w:r>
        <w:t>]</w:t>
      </w:r>
    </w:p>
    <w:p w14:paraId="60493F65" w14:textId="77777777" w:rsidR="003F5B21" w:rsidRDefault="003F5B21" w:rsidP="005B6C73">
      <w:pPr>
        <w:pStyle w:val="BodyText"/>
      </w:pPr>
    </w:p>
    <w:p w14:paraId="7511F8A1" w14:textId="77777777" w:rsidR="003F5B21" w:rsidRDefault="003F5B21" w:rsidP="005B6C73">
      <w:pPr>
        <w:pStyle w:val="BodyText"/>
      </w:pPr>
    </w:p>
    <w:p w14:paraId="4D7C2AC1" w14:textId="77777777" w:rsidR="00FA6C39" w:rsidRDefault="00FA6C39" w:rsidP="00FA6C39">
      <w:pPr>
        <w:pStyle w:val="BodyText"/>
        <w:tabs>
          <w:tab w:val="left" w:pos="3664"/>
        </w:tabs>
        <w:ind w:left="0"/>
      </w:pPr>
    </w:p>
    <w:p w14:paraId="0420AD0F" w14:textId="0FFD7F67" w:rsidR="00702B66" w:rsidRDefault="00FA6C39" w:rsidP="005E3745">
      <w:pPr>
        <w:pStyle w:val="BodyText"/>
        <w:tabs>
          <w:tab w:val="left" w:pos="3664"/>
        </w:tabs>
        <w:ind w:left="0"/>
      </w:pPr>
      <w:r w:rsidRPr="00FA6C39">
        <w:rPr>
          <w:sz w:val="14"/>
        </w:rPr>
        <w:t xml:space="preserve">Disclaimer: </w:t>
      </w:r>
      <w:r w:rsidR="005E3745" w:rsidRPr="005E3745">
        <w:rPr>
          <w:sz w:val="14"/>
        </w:rPr>
        <w:t xml:space="preserve">Neither </w:t>
      </w:r>
      <w:r w:rsidR="004A5ED9">
        <w:rPr>
          <w:sz w:val="14"/>
        </w:rPr>
        <w:t xml:space="preserve">HUB </w:t>
      </w:r>
      <w:r w:rsidR="005E3745" w:rsidRPr="005E3745">
        <w:rPr>
          <w:sz w:val="14"/>
        </w:rPr>
        <w:t xml:space="preserve">International Limited nor any of its affiliated companies is a law or accounting firm, and therefore they cannot provide legal or tax advice. This is a sample form based on generally available information and is not tailored to your company’s specific needs or policies. It is not intended to constitute legal or tax advice as to an organization’s specific circumstances. It is based on </w:t>
      </w:r>
      <w:r w:rsidR="004A5ED9">
        <w:rPr>
          <w:sz w:val="14"/>
        </w:rPr>
        <w:t xml:space="preserve">HUB </w:t>
      </w:r>
      <w:r w:rsidR="005E3745" w:rsidRPr="005E3745">
        <w:rPr>
          <w:sz w:val="14"/>
        </w:rPr>
        <w:t xml:space="preserve">International's understanding of the law as it exists on the date it was created. Subsequent developments may result in this form becoming outdated or incorrect and </w:t>
      </w:r>
      <w:r w:rsidR="004A5ED9">
        <w:rPr>
          <w:sz w:val="14"/>
        </w:rPr>
        <w:t xml:space="preserve">HUB </w:t>
      </w:r>
      <w:r w:rsidR="005E3745" w:rsidRPr="005E3745">
        <w:rPr>
          <w:sz w:val="14"/>
        </w:rPr>
        <w:t>International does not have an obligation to update it. You should consult an attorney, accountant, or other legal or tax professional regarding the application of this sample form to your organization’s specific situation in light of your organization’s particular needs.</w:t>
      </w:r>
    </w:p>
    <w:p w14:paraId="749BC33B" w14:textId="77777777" w:rsidR="00702B66" w:rsidRDefault="00702B66" w:rsidP="00702B66">
      <w:pPr>
        <w:pStyle w:val="BodyText"/>
        <w:tabs>
          <w:tab w:val="left" w:pos="3664"/>
        </w:tabs>
      </w:pPr>
    </w:p>
    <w:p w14:paraId="169DA3C6" w14:textId="77777777" w:rsidR="00702B66" w:rsidRDefault="00702B66" w:rsidP="00702B66">
      <w:pPr>
        <w:pStyle w:val="BodyText"/>
        <w:tabs>
          <w:tab w:val="left" w:pos="3664"/>
        </w:tabs>
      </w:pPr>
    </w:p>
    <w:p w14:paraId="38A0A7CA" w14:textId="77777777" w:rsidR="00702B66" w:rsidRDefault="00702B66" w:rsidP="00702B66">
      <w:pPr>
        <w:pStyle w:val="BodyText"/>
        <w:tabs>
          <w:tab w:val="left" w:pos="3664"/>
        </w:tabs>
      </w:pPr>
    </w:p>
    <w:p w14:paraId="0651C774" w14:textId="77777777" w:rsidR="00702B66" w:rsidRDefault="00702B66" w:rsidP="00702B66">
      <w:pPr>
        <w:pStyle w:val="BodyText"/>
        <w:tabs>
          <w:tab w:val="left" w:pos="3664"/>
        </w:tabs>
      </w:pPr>
    </w:p>
    <w:p w14:paraId="0A5D632B" w14:textId="77777777" w:rsidR="00702B66" w:rsidRDefault="00702B66" w:rsidP="00702B66">
      <w:pPr>
        <w:pStyle w:val="BodyText"/>
        <w:tabs>
          <w:tab w:val="left" w:pos="3664"/>
        </w:tabs>
      </w:pPr>
    </w:p>
    <w:p w14:paraId="3BB21AAC" w14:textId="77777777" w:rsidR="00702B66" w:rsidRDefault="00702B66" w:rsidP="00702B66">
      <w:pPr>
        <w:pStyle w:val="BodyText"/>
        <w:tabs>
          <w:tab w:val="left" w:pos="3664"/>
        </w:tabs>
      </w:pPr>
    </w:p>
    <w:p w14:paraId="3AB61F36" w14:textId="77777777" w:rsidR="00702B66" w:rsidRDefault="00702B66" w:rsidP="00702B66">
      <w:pPr>
        <w:pStyle w:val="BodyText"/>
        <w:tabs>
          <w:tab w:val="left" w:pos="3664"/>
        </w:tabs>
      </w:pPr>
    </w:p>
    <w:p w14:paraId="77D83594" w14:textId="77777777" w:rsidR="00702B66" w:rsidRDefault="00702B66" w:rsidP="00702B66">
      <w:pPr>
        <w:pStyle w:val="BodyText"/>
        <w:tabs>
          <w:tab w:val="left" w:pos="3664"/>
        </w:tabs>
      </w:pPr>
    </w:p>
    <w:p w14:paraId="3C8C5C3D" w14:textId="77777777" w:rsidR="00702B66" w:rsidRDefault="00702B66" w:rsidP="00702B66">
      <w:pPr>
        <w:pStyle w:val="BodyText"/>
        <w:tabs>
          <w:tab w:val="left" w:pos="3664"/>
        </w:tabs>
      </w:pPr>
    </w:p>
    <w:p w14:paraId="6FBB522B" w14:textId="77777777" w:rsidR="00702B66" w:rsidRDefault="00702B66" w:rsidP="00702B66">
      <w:pPr>
        <w:pStyle w:val="BodyText"/>
        <w:tabs>
          <w:tab w:val="left" w:pos="3664"/>
        </w:tabs>
      </w:pPr>
    </w:p>
    <w:p w14:paraId="004C3CCD" w14:textId="77777777" w:rsidR="00962F41" w:rsidRDefault="00962F41" w:rsidP="00702B66">
      <w:pPr>
        <w:pStyle w:val="BodyText"/>
        <w:tabs>
          <w:tab w:val="left" w:pos="3664"/>
        </w:tabs>
        <w:sectPr w:rsidR="00962F41" w:rsidSect="00962F41">
          <w:type w:val="continuous"/>
          <w:pgSz w:w="12240" w:h="15840"/>
          <w:pgMar w:top="0" w:right="1500" w:bottom="0" w:left="980" w:header="0" w:footer="405" w:gutter="0"/>
          <w:cols w:space="720"/>
        </w:sectPr>
      </w:pPr>
    </w:p>
    <w:p w14:paraId="07C53DA6" w14:textId="77777777" w:rsidR="00702B66" w:rsidRDefault="00702B66" w:rsidP="00702B66">
      <w:pPr>
        <w:pStyle w:val="BodyText"/>
        <w:tabs>
          <w:tab w:val="left" w:pos="3664"/>
        </w:tabs>
      </w:pPr>
    </w:p>
    <w:p w14:paraId="34DAAD1F" w14:textId="77777777" w:rsidR="00702B66" w:rsidRDefault="00702B66" w:rsidP="00702B66">
      <w:pPr>
        <w:pStyle w:val="BodyText"/>
        <w:tabs>
          <w:tab w:val="left" w:pos="3664"/>
        </w:tabs>
      </w:pPr>
    </w:p>
    <w:p w14:paraId="44305FBC" w14:textId="77777777" w:rsidR="00702B66" w:rsidRDefault="00702B66" w:rsidP="00702B66">
      <w:pPr>
        <w:pStyle w:val="BodyText"/>
        <w:tabs>
          <w:tab w:val="left" w:pos="3664"/>
        </w:tabs>
      </w:pPr>
    </w:p>
    <w:p w14:paraId="0ED585F4" w14:textId="77777777" w:rsidR="00702B66" w:rsidRDefault="00702B66" w:rsidP="00702B66">
      <w:pPr>
        <w:pStyle w:val="BodyText"/>
        <w:tabs>
          <w:tab w:val="left" w:pos="3664"/>
        </w:tabs>
      </w:pPr>
    </w:p>
    <w:p w14:paraId="3080AAEC" w14:textId="77777777" w:rsidR="00702B66" w:rsidRDefault="00702B66" w:rsidP="00702B66">
      <w:pPr>
        <w:pStyle w:val="BodyText"/>
        <w:tabs>
          <w:tab w:val="left" w:pos="3664"/>
        </w:tabs>
      </w:pPr>
    </w:p>
    <w:p w14:paraId="5329EBF0" w14:textId="77777777" w:rsidR="00CA7DBE" w:rsidRDefault="00CA7DBE" w:rsidP="005B6C73">
      <w:pPr>
        <w:pStyle w:val="BodyText"/>
      </w:pPr>
    </w:p>
    <w:p w14:paraId="0A4D259D" w14:textId="77777777" w:rsidR="00CA7DBE" w:rsidRDefault="00CA7DBE" w:rsidP="005B6C73">
      <w:pPr>
        <w:pStyle w:val="BodyText"/>
      </w:pPr>
    </w:p>
    <w:p w14:paraId="4CA8C031" w14:textId="77777777" w:rsidR="00025326" w:rsidRDefault="00025326" w:rsidP="00025326">
      <w:pPr>
        <w:pStyle w:val="Heading2"/>
        <w:ind w:left="0"/>
        <w:rPr>
          <w:rStyle w:val="Strong"/>
        </w:rPr>
      </w:pPr>
    </w:p>
    <w:p w14:paraId="00E1EE92" w14:textId="77777777" w:rsidR="0096718E" w:rsidRDefault="0096718E" w:rsidP="00025326">
      <w:pPr>
        <w:pStyle w:val="Heading2"/>
        <w:ind w:left="0"/>
        <w:rPr>
          <w:rStyle w:val="Strong"/>
        </w:rPr>
      </w:pPr>
    </w:p>
    <w:p w14:paraId="768A178D" w14:textId="77777777" w:rsidR="003F5B21" w:rsidRPr="00791C13" w:rsidRDefault="00025326" w:rsidP="00025326">
      <w:pPr>
        <w:pStyle w:val="Heading2"/>
        <w:ind w:left="0"/>
        <w:rPr>
          <w:rStyle w:val="Strong"/>
        </w:rPr>
      </w:pPr>
      <w:r>
        <w:rPr>
          <w:rStyle w:val="Strong"/>
        </w:rPr>
        <w:t xml:space="preserve"> </w:t>
      </w:r>
    </w:p>
    <w:p w14:paraId="2AB66520" w14:textId="77777777" w:rsidR="00A8193F" w:rsidRPr="00791C13" w:rsidRDefault="00A8193F">
      <w:pPr>
        <w:pStyle w:val="Heading2"/>
        <w:ind w:left="0"/>
        <w:rPr>
          <w:rStyle w:val="Strong"/>
        </w:rPr>
      </w:pPr>
    </w:p>
    <w:sectPr w:rsidR="00A8193F" w:rsidRPr="00791C13" w:rsidSect="00A8193F">
      <w:type w:val="continuous"/>
      <w:pgSz w:w="12240" w:h="15840"/>
      <w:pgMar w:top="0" w:right="1500" w:bottom="0" w:left="980" w:header="0" w:footer="40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24708" w16cid:durableId="2280B2C8"/>
  <w16cid:commentId w16cid:paraId="0D721E26" w16cid:durableId="2280B320"/>
  <w16cid:commentId w16cid:paraId="3A9A231F" w16cid:durableId="2280B347"/>
  <w16cid:commentId w16cid:paraId="56025A27" w16cid:durableId="2280B2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1762" w14:textId="77777777" w:rsidR="00FF343B" w:rsidRDefault="00FF343B" w:rsidP="00CA7DBE">
      <w:r>
        <w:separator/>
      </w:r>
    </w:p>
  </w:endnote>
  <w:endnote w:type="continuationSeparator" w:id="0">
    <w:p w14:paraId="1327E57B" w14:textId="77777777" w:rsidR="00FF343B" w:rsidRDefault="00FF343B"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C5D6" w14:textId="77777777" w:rsidR="00CA7DBE" w:rsidRDefault="00A8193F">
    <w:pPr>
      <w:pStyle w:val="Footer"/>
    </w:pPr>
    <w:r w:rsidRPr="00A8193F">
      <w:rPr>
        <w:noProof/>
        <w:lang w:bidi="ar-SA"/>
      </w:rPr>
      <w:drawing>
        <wp:anchor distT="0" distB="0" distL="114300" distR="114300" simplePos="0" relativeHeight="251661312" behindDoc="1" locked="0" layoutInCell="1" allowOverlap="1" wp14:anchorId="369D074D" wp14:editId="412DDA22">
          <wp:simplePos x="0" y="0"/>
          <wp:positionH relativeFrom="column">
            <wp:posOffset>5213350</wp:posOffset>
          </wp:positionH>
          <wp:positionV relativeFrom="paragraph">
            <wp:posOffset>-1072515</wp:posOffset>
          </wp:positionV>
          <wp:extent cx="1253490" cy="630555"/>
          <wp:effectExtent l="0" t="0" r="0" b="0"/>
          <wp:wrapNone/>
          <wp:docPr id="5" name="Picture 5"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Pr="00A8193F">
      <w:rPr>
        <w:noProof/>
        <w:lang w:bidi="ar-SA"/>
      </w:rPr>
      <w:drawing>
        <wp:anchor distT="0" distB="0" distL="114300" distR="114300" simplePos="0" relativeHeight="251660288" behindDoc="1" locked="0" layoutInCell="1" allowOverlap="1" wp14:anchorId="171616EE" wp14:editId="457A745D">
          <wp:simplePos x="0" y="0"/>
          <wp:positionH relativeFrom="column">
            <wp:posOffset>4914900</wp:posOffset>
          </wp:positionH>
          <wp:positionV relativeFrom="page">
            <wp:posOffset>7878445</wp:posOffset>
          </wp:positionV>
          <wp:extent cx="1818640" cy="1828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r w:rsidR="00CA7DBE">
      <w:rPr>
        <w:noProof/>
        <w:lang w:bidi="ar-SA"/>
      </w:rPr>
      <w:drawing>
        <wp:anchor distT="0" distB="0" distL="114300" distR="114300" simplePos="0" relativeHeight="251657215" behindDoc="1" locked="0" layoutInCell="1" allowOverlap="1" wp14:anchorId="05CEEDB4" wp14:editId="6E81C4AA">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3">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E8A0D" w14:textId="77777777" w:rsidR="00FF343B" w:rsidRDefault="00FF343B" w:rsidP="00CA7DBE">
      <w:r>
        <w:separator/>
      </w:r>
    </w:p>
  </w:footnote>
  <w:footnote w:type="continuationSeparator" w:id="0">
    <w:p w14:paraId="6A65A2E9" w14:textId="77777777" w:rsidR="00FF343B" w:rsidRDefault="00FF343B"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DD5D" w14:textId="77777777" w:rsidR="00CA7DBE" w:rsidRDefault="00CA7DBE">
    <w:pPr>
      <w:pStyle w:val="Header"/>
    </w:pPr>
    <w:r>
      <w:rPr>
        <w:noProof/>
        <w:lang w:bidi="ar-SA"/>
      </w:rPr>
      <w:drawing>
        <wp:anchor distT="0" distB="0" distL="114300" distR="114300" simplePos="0" relativeHeight="251658240" behindDoc="1" locked="0" layoutInCell="1" allowOverlap="1" wp14:anchorId="1A3EEF2D" wp14:editId="7B6A4319">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022F2D"/>
    <w:rsid w:val="00025326"/>
    <w:rsid w:val="0003084B"/>
    <w:rsid w:val="000A458C"/>
    <w:rsid w:val="000E4025"/>
    <w:rsid w:val="00104998"/>
    <w:rsid w:val="00120B37"/>
    <w:rsid w:val="001515DE"/>
    <w:rsid w:val="001A4362"/>
    <w:rsid w:val="001D298A"/>
    <w:rsid w:val="00212264"/>
    <w:rsid w:val="002B05C5"/>
    <w:rsid w:val="002B68A5"/>
    <w:rsid w:val="002E2890"/>
    <w:rsid w:val="003363EE"/>
    <w:rsid w:val="003712D7"/>
    <w:rsid w:val="003C6A80"/>
    <w:rsid w:val="003E49C1"/>
    <w:rsid w:val="003F5B21"/>
    <w:rsid w:val="00467A87"/>
    <w:rsid w:val="00474E53"/>
    <w:rsid w:val="004A5ED9"/>
    <w:rsid w:val="005023AA"/>
    <w:rsid w:val="00507F17"/>
    <w:rsid w:val="005B0C3B"/>
    <w:rsid w:val="005B6C73"/>
    <w:rsid w:val="005E3745"/>
    <w:rsid w:val="006218B4"/>
    <w:rsid w:val="00641788"/>
    <w:rsid w:val="00652FFD"/>
    <w:rsid w:val="006E5496"/>
    <w:rsid w:val="00702B66"/>
    <w:rsid w:val="00734FCA"/>
    <w:rsid w:val="00791C13"/>
    <w:rsid w:val="00793DAD"/>
    <w:rsid w:val="007D718B"/>
    <w:rsid w:val="008B3A75"/>
    <w:rsid w:val="008E6B62"/>
    <w:rsid w:val="009546A5"/>
    <w:rsid w:val="00962F41"/>
    <w:rsid w:val="00964769"/>
    <w:rsid w:val="0096718E"/>
    <w:rsid w:val="00980122"/>
    <w:rsid w:val="00991407"/>
    <w:rsid w:val="00A05BB8"/>
    <w:rsid w:val="00A61656"/>
    <w:rsid w:val="00A8193F"/>
    <w:rsid w:val="00A87C3C"/>
    <w:rsid w:val="00AA0396"/>
    <w:rsid w:val="00AB4168"/>
    <w:rsid w:val="00AC66BA"/>
    <w:rsid w:val="00AE370E"/>
    <w:rsid w:val="00AE3831"/>
    <w:rsid w:val="00B00047"/>
    <w:rsid w:val="00B07866"/>
    <w:rsid w:val="00B215A6"/>
    <w:rsid w:val="00B42D8B"/>
    <w:rsid w:val="00B659C4"/>
    <w:rsid w:val="00B66585"/>
    <w:rsid w:val="00B73A22"/>
    <w:rsid w:val="00B84198"/>
    <w:rsid w:val="00B87B79"/>
    <w:rsid w:val="00B90333"/>
    <w:rsid w:val="00BB300E"/>
    <w:rsid w:val="00BC746D"/>
    <w:rsid w:val="00C44BCE"/>
    <w:rsid w:val="00C755CF"/>
    <w:rsid w:val="00C82239"/>
    <w:rsid w:val="00C854FC"/>
    <w:rsid w:val="00CA7823"/>
    <w:rsid w:val="00CA7DBE"/>
    <w:rsid w:val="00D45DCE"/>
    <w:rsid w:val="00DB169B"/>
    <w:rsid w:val="00E17D24"/>
    <w:rsid w:val="00E31096"/>
    <w:rsid w:val="00E434F2"/>
    <w:rsid w:val="00E85120"/>
    <w:rsid w:val="00EA5BA7"/>
    <w:rsid w:val="00EC541B"/>
    <w:rsid w:val="00F210AD"/>
    <w:rsid w:val="00FA6C39"/>
    <w:rsid w:val="00FD296D"/>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93013"/>
  <w15:docId w15:val="{BBC6EAEC-E4A8-44FB-8D28-47B5CEA3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Hyperlink">
    <w:name w:val="Hyperlink"/>
    <w:basedOn w:val="DefaultParagraphFont"/>
    <w:uiPriority w:val="99"/>
    <w:unhideWhenUsed/>
    <w:rsid w:val="00EA5BA7"/>
    <w:rPr>
      <w:color w:val="0000FF" w:themeColor="hyperlink"/>
      <w:u w:val="single"/>
    </w:rPr>
  </w:style>
  <w:style w:type="character" w:styleId="CommentReference">
    <w:name w:val="annotation reference"/>
    <w:basedOn w:val="DefaultParagraphFont"/>
    <w:uiPriority w:val="99"/>
    <w:semiHidden/>
    <w:unhideWhenUsed/>
    <w:rsid w:val="00B90333"/>
    <w:rPr>
      <w:sz w:val="16"/>
      <w:szCs w:val="16"/>
    </w:rPr>
  </w:style>
  <w:style w:type="paragraph" w:styleId="CommentText">
    <w:name w:val="annotation text"/>
    <w:basedOn w:val="Normal"/>
    <w:link w:val="CommentTextChar"/>
    <w:uiPriority w:val="99"/>
    <w:semiHidden/>
    <w:unhideWhenUsed/>
    <w:rsid w:val="00B90333"/>
    <w:rPr>
      <w:sz w:val="20"/>
      <w:szCs w:val="20"/>
    </w:rPr>
  </w:style>
  <w:style w:type="character" w:customStyle="1" w:styleId="CommentTextChar">
    <w:name w:val="Comment Text Char"/>
    <w:basedOn w:val="DefaultParagraphFont"/>
    <w:link w:val="CommentText"/>
    <w:uiPriority w:val="99"/>
    <w:semiHidden/>
    <w:rsid w:val="00B90333"/>
    <w:rPr>
      <w:rFonts w:ascii="Avenir Next" w:eastAsia="Avenir Next" w:hAnsi="Avenir Next" w:cs="Avenir Next"/>
      <w:sz w:val="20"/>
      <w:szCs w:val="20"/>
      <w:lang w:bidi="en-US"/>
    </w:rPr>
  </w:style>
  <w:style w:type="paragraph" w:styleId="CommentSubject">
    <w:name w:val="annotation subject"/>
    <w:basedOn w:val="CommentText"/>
    <w:next w:val="CommentText"/>
    <w:link w:val="CommentSubjectChar"/>
    <w:uiPriority w:val="99"/>
    <w:semiHidden/>
    <w:unhideWhenUsed/>
    <w:rsid w:val="00B90333"/>
    <w:rPr>
      <w:b/>
      <w:bCs/>
    </w:rPr>
  </w:style>
  <w:style w:type="character" w:customStyle="1" w:styleId="CommentSubjectChar">
    <w:name w:val="Comment Subject Char"/>
    <w:basedOn w:val="CommentTextChar"/>
    <w:link w:val="CommentSubject"/>
    <w:uiPriority w:val="99"/>
    <w:semiHidden/>
    <w:rsid w:val="00B90333"/>
    <w:rPr>
      <w:rFonts w:ascii="Avenir Next" w:eastAsia="Avenir Next" w:hAnsi="Avenir Next" w:cs="Avenir Next"/>
      <w:b/>
      <w:bCs/>
      <w:sz w:val="20"/>
      <w:szCs w:val="20"/>
      <w:lang w:bidi="en-US"/>
    </w:rPr>
  </w:style>
  <w:style w:type="paragraph" w:styleId="BalloonText">
    <w:name w:val="Balloon Text"/>
    <w:basedOn w:val="Normal"/>
    <w:link w:val="BalloonTextChar"/>
    <w:uiPriority w:val="99"/>
    <w:semiHidden/>
    <w:unhideWhenUsed/>
    <w:rsid w:val="00B90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33"/>
    <w:rPr>
      <w:rFonts w:ascii="Segoe UI" w:eastAsia="Avenir Nex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7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Fisher, Felipe</cp:lastModifiedBy>
  <cp:revision>4</cp:revision>
  <dcterms:created xsi:type="dcterms:W3CDTF">2020-06-09T20:53:00Z</dcterms:created>
  <dcterms:modified xsi:type="dcterms:W3CDTF">2020-06-09T20:59:00Z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